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83A" w:rsidRPr="00EA783A" w:rsidRDefault="00EA783A" w:rsidP="00EA783A">
      <w:pPr>
        <w:pBdr>
          <w:bottom w:val="single" w:sz="8" w:space="12" w:color="4F81BD"/>
        </w:pBdr>
        <w:spacing w:after="300"/>
        <w:ind w:right="270"/>
        <w:contextualSpacing/>
        <w:rPr>
          <w:rFonts w:ascii="Cambria" w:eastAsia="Times New Roman" w:hAnsi="Cambria"/>
          <w:b/>
          <w:color w:val="17365D"/>
          <w:spacing w:val="5"/>
          <w:kern w:val="28"/>
          <w:sz w:val="24"/>
          <w:szCs w:val="24"/>
        </w:rPr>
      </w:pPr>
      <w:r w:rsidRPr="00EA783A">
        <w:rPr>
          <w:rFonts w:ascii="Cambria" w:eastAsia="Times New Roman" w:hAnsi="Cambria"/>
          <w:noProof/>
          <w:color w:val="17365D"/>
          <w:spacing w:val="5"/>
          <w:kern w:val="28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44A21FB" wp14:editId="2B065EB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95400" cy="819150"/>
            <wp:effectExtent l="0" t="0" r="0" b="0"/>
            <wp:wrapThrough wrapText="bothSides">
              <wp:wrapPolygon edited="0">
                <wp:start x="0" y="0"/>
                <wp:lineTo x="0" y="21098"/>
                <wp:lineTo x="21282" y="21098"/>
                <wp:lineTo x="21282" y="0"/>
                <wp:lineTo x="0" y="0"/>
              </wp:wrapPolygon>
            </wp:wrapThrough>
            <wp:docPr id="1" name="Picture 2" descr="countylogos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ntylogosam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A783A">
        <w:rPr>
          <w:rFonts w:ascii="Cambria" w:eastAsia="Times New Roman" w:hAnsi="Cambria"/>
          <w:b/>
          <w:noProof/>
          <w:color w:val="17365D"/>
          <w:spacing w:val="5"/>
          <w:kern w:val="28"/>
          <w:sz w:val="24"/>
          <w:szCs w:val="24"/>
        </w:rPr>
        <w:t xml:space="preserve">                       OGDEN VALLEY PLANNING COMMISSION</w:t>
      </w:r>
    </w:p>
    <w:p w:rsidR="00EA783A" w:rsidRPr="00EA783A" w:rsidRDefault="00EA783A" w:rsidP="00EA783A">
      <w:pPr>
        <w:pBdr>
          <w:bottom w:val="single" w:sz="8" w:space="4" w:color="4F81BD"/>
        </w:pBdr>
        <w:tabs>
          <w:tab w:val="left" w:pos="1620"/>
        </w:tabs>
        <w:spacing w:after="300"/>
        <w:ind w:right="270"/>
        <w:contextualSpacing/>
        <w:rPr>
          <w:rFonts w:ascii="Cambria" w:eastAsia="Times New Roman" w:hAnsi="Cambria"/>
          <w:b/>
          <w:bCs/>
          <w:color w:val="17365D"/>
          <w:spacing w:val="5"/>
          <w:kern w:val="28"/>
          <w:sz w:val="24"/>
          <w:szCs w:val="24"/>
        </w:rPr>
      </w:pPr>
      <w:r w:rsidRPr="00EA783A">
        <w:rPr>
          <w:rFonts w:ascii="Cambria" w:eastAsia="Times New Roman" w:hAnsi="Cambria"/>
          <w:b/>
          <w:bCs/>
          <w:color w:val="17365D"/>
          <w:spacing w:val="5"/>
          <w:kern w:val="28"/>
          <w:sz w:val="24"/>
          <w:szCs w:val="24"/>
        </w:rPr>
        <w:t xml:space="preserve">        </w:t>
      </w:r>
      <w:r>
        <w:rPr>
          <w:rFonts w:ascii="Cambria" w:eastAsia="Times New Roman" w:hAnsi="Cambria"/>
          <w:b/>
          <w:bCs/>
          <w:color w:val="17365D"/>
          <w:spacing w:val="5"/>
          <w:kern w:val="28"/>
          <w:sz w:val="24"/>
          <w:szCs w:val="24"/>
        </w:rPr>
        <w:t xml:space="preserve">                 REGULAR &amp; </w:t>
      </w:r>
      <w:r w:rsidRPr="00EA783A">
        <w:rPr>
          <w:rFonts w:ascii="Cambria" w:eastAsia="Times New Roman" w:hAnsi="Cambria"/>
          <w:b/>
          <w:bCs/>
          <w:color w:val="17365D"/>
          <w:spacing w:val="5"/>
          <w:kern w:val="28"/>
          <w:sz w:val="24"/>
          <w:szCs w:val="24"/>
        </w:rPr>
        <w:t>WORK SESSION AGENDA</w:t>
      </w:r>
    </w:p>
    <w:p w:rsidR="00EA783A" w:rsidRDefault="00EA783A" w:rsidP="00EA783A">
      <w:pPr>
        <w:jc w:val="center"/>
        <w:rPr>
          <w:b/>
          <w:sz w:val="24"/>
          <w:szCs w:val="24"/>
        </w:rPr>
      </w:pPr>
    </w:p>
    <w:p w:rsidR="00EA783A" w:rsidRDefault="00EA783A" w:rsidP="00EA783A">
      <w:pPr>
        <w:jc w:val="center"/>
        <w:rPr>
          <w:b/>
          <w:sz w:val="24"/>
          <w:szCs w:val="24"/>
        </w:rPr>
      </w:pPr>
    </w:p>
    <w:p w:rsidR="00EA783A" w:rsidRPr="00EA783A" w:rsidRDefault="00EA783A" w:rsidP="00EA78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Pr="00EA783A">
        <w:rPr>
          <w:b/>
          <w:sz w:val="24"/>
          <w:szCs w:val="24"/>
        </w:rPr>
        <w:t xml:space="preserve">  </w:t>
      </w:r>
      <w:r w:rsidR="00521311">
        <w:rPr>
          <w:b/>
          <w:sz w:val="24"/>
          <w:szCs w:val="24"/>
        </w:rPr>
        <w:t>March 5</w:t>
      </w:r>
      <w:r w:rsidRPr="00EA783A">
        <w:rPr>
          <w:b/>
          <w:sz w:val="24"/>
          <w:szCs w:val="24"/>
        </w:rPr>
        <w:t>, 2019</w:t>
      </w:r>
    </w:p>
    <w:p w:rsidR="00EA783A" w:rsidRPr="00EA783A" w:rsidRDefault="00EA783A" w:rsidP="00EA783A">
      <w:pPr>
        <w:jc w:val="center"/>
        <w:rPr>
          <w:b/>
          <w:color w:val="8496B0" w:themeColor="text2" w:themeTint="99"/>
          <w:sz w:val="24"/>
          <w:szCs w:val="24"/>
        </w:rPr>
      </w:pPr>
      <w:r>
        <w:rPr>
          <w:b/>
          <w:color w:val="8496B0" w:themeColor="text2" w:themeTint="99"/>
          <w:sz w:val="24"/>
          <w:szCs w:val="24"/>
        </w:rPr>
        <w:t xml:space="preserve">                                 5:</w:t>
      </w:r>
      <w:r w:rsidRPr="00EA783A">
        <w:rPr>
          <w:b/>
          <w:color w:val="8496B0" w:themeColor="text2" w:themeTint="99"/>
          <w:sz w:val="24"/>
          <w:szCs w:val="24"/>
        </w:rPr>
        <w:t>00 p.m.</w:t>
      </w:r>
    </w:p>
    <w:p w:rsidR="00EA783A" w:rsidRPr="00EA783A" w:rsidRDefault="00EA783A" w:rsidP="00EA783A">
      <w:pPr>
        <w:jc w:val="center"/>
        <w:rPr>
          <w:b/>
          <w:i/>
        </w:rPr>
      </w:pPr>
    </w:p>
    <w:p w:rsidR="00EA783A" w:rsidRPr="00EA783A" w:rsidRDefault="00EA783A" w:rsidP="00EA783A">
      <w:pPr>
        <w:numPr>
          <w:ilvl w:val="0"/>
          <w:numId w:val="1"/>
        </w:numPr>
        <w:tabs>
          <w:tab w:val="left" w:pos="1800"/>
          <w:tab w:val="left" w:pos="2880"/>
          <w:tab w:val="left" w:pos="4320"/>
          <w:tab w:val="left" w:pos="5760"/>
        </w:tabs>
        <w:ind w:left="540" w:hanging="540"/>
        <w:contextualSpacing/>
        <w:rPr>
          <w:i/>
        </w:rPr>
      </w:pPr>
      <w:r w:rsidRPr="00EA783A">
        <w:rPr>
          <w:b/>
          <w:i/>
        </w:rPr>
        <w:t xml:space="preserve">Pledge of Allegiance </w:t>
      </w:r>
    </w:p>
    <w:p w:rsidR="00EA783A" w:rsidRPr="00EA783A" w:rsidRDefault="00EA783A" w:rsidP="00F54909">
      <w:pPr>
        <w:numPr>
          <w:ilvl w:val="0"/>
          <w:numId w:val="1"/>
        </w:numPr>
        <w:tabs>
          <w:tab w:val="left" w:pos="1800"/>
          <w:tab w:val="left" w:pos="2880"/>
          <w:tab w:val="left" w:pos="4320"/>
          <w:tab w:val="left" w:pos="5760"/>
        </w:tabs>
        <w:ind w:left="540" w:hanging="540"/>
        <w:contextualSpacing/>
        <w:rPr>
          <w:i/>
        </w:rPr>
      </w:pPr>
      <w:r w:rsidRPr="00EA783A">
        <w:rPr>
          <w:b/>
          <w:i/>
        </w:rPr>
        <w:t>Roll Call:</w:t>
      </w:r>
      <w:r w:rsidRPr="00EA783A">
        <w:rPr>
          <w:i/>
        </w:rPr>
        <w:t xml:space="preserve"> </w:t>
      </w:r>
    </w:p>
    <w:p w:rsidR="00EA783A" w:rsidRPr="00EA783A" w:rsidRDefault="00EA783A" w:rsidP="00EA783A">
      <w:pPr>
        <w:tabs>
          <w:tab w:val="left" w:pos="1800"/>
          <w:tab w:val="left" w:pos="2880"/>
          <w:tab w:val="left" w:pos="4320"/>
          <w:tab w:val="left" w:pos="5760"/>
        </w:tabs>
        <w:rPr>
          <w:i/>
        </w:rPr>
      </w:pPr>
    </w:p>
    <w:p w:rsidR="001D4662" w:rsidRDefault="001D4662" w:rsidP="001D4662">
      <w:pPr>
        <w:tabs>
          <w:tab w:val="left" w:pos="360"/>
          <w:tab w:val="left" w:pos="2160"/>
          <w:tab w:val="left" w:pos="5760"/>
        </w:tabs>
        <w:ind w:left="360" w:hanging="360"/>
        <w:rPr>
          <w:b/>
        </w:rPr>
      </w:pPr>
      <w:r w:rsidRPr="001D4662">
        <w:rPr>
          <w:b/>
        </w:rPr>
        <w:t>1.</w:t>
      </w:r>
      <w:r w:rsidRPr="001D4662">
        <w:rPr>
          <w:b/>
        </w:rPr>
        <w:tab/>
        <w:t>Consent Agenda:</w:t>
      </w:r>
    </w:p>
    <w:p w:rsidR="001D4662" w:rsidRDefault="001D4662" w:rsidP="001D4662">
      <w:pPr>
        <w:tabs>
          <w:tab w:val="left" w:pos="360"/>
          <w:tab w:val="left" w:pos="2160"/>
          <w:tab w:val="left" w:pos="5760"/>
        </w:tabs>
        <w:ind w:left="360" w:hanging="360"/>
        <w:rPr>
          <w:b/>
        </w:rPr>
      </w:pPr>
      <w:r>
        <w:rPr>
          <w:b/>
          <w:sz w:val="18"/>
          <w:szCs w:val="18"/>
        </w:rPr>
        <w:t>1</w:t>
      </w:r>
      <w:r w:rsidRPr="00364E06">
        <w:rPr>
          <w:b/>
          <w:sz w:val="18"/>
          <w:szCs w:val="18"/>
        </w:rPr>
        <w:t>.1</w:t>
      </w:r>
      <w:r w:rsidRPr="00364E06">
        <w:rPr>
          <w:b/>
          <w:sz w:val="18"/>
          <w:szCs w:val="18"/>
        </w:rPr>
        <w:tab/>
      </w:r>
      <w:r>
        <w:rPr>
          <w:b/>
        </w:rPr>
        <w:t xml:space="preserve">UVT041718:   Consideration and action for final subdivision approval of the Trapper’s Ridge at Wolf Creek PRUD Phases </w:t>
      </w:r>
      <w:proofErr w:type="spellStart"/>
      <w:r>
        <w:rPr>
          <w:b/>
        </w:rPr>
        <w:t>7a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7b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7c</w:t>
      </w:r>
      <w:proofErr w:type="spellEnd"/>
      <w:r>
        <w:rPr>
          <w:b/>
        </w:rPr>
        <w:t xml:space="preserve">, and </w:t>
      </w:r>
      <w:proofErr w:type="spellStart"/>
      <w:r>
        <w:rPr>
          <w:b/>
        </w:rPr>
        <w:t>7d</w:t>
      </w:r>
      <w:proofErr w:type="spellEnd"/>
      <w:r>
        <w:rPr>
          <w:b/>
        </w:rPr>
        <w:t xml:space="preserve"> at approximately 5800 East Big Horn Parkway in the RE-15 Zone.  (Eden Village, LLC Applicant, Russ Watts, Agent)</w:t>
      </w:r>
    </w:p>
    <w:p w:rsidR="00185A73" w:rsidRDefault="00185A73" w:rsidP="001D4662">
      <w:pPr>
        <w:tabs>
          <w:tab w:val="left" w:pos="360"/>
          <w:tab w:val="left" w:pos="2160"/>
          <w:tab w:val="left" w:pos="5760"/>
        </w:tabs>
        <w:ind w:left="360" w:hanging="360"/>
        <w:rPr>
          <w:b/>
        </w:rPr>
      </w:pPr>
      <w:bookmarkStart w:id="0" w:name="_GoBack"/>
      <w:bookmarkEnd w:id="0"/>
    </w:p>
    <w:p w:rsidR="00EA783A" w:rsidRDefault="00895646" w:rsidP="00895646">
      <w:pPr>
        <w:pStyle w:val="ListParagraph"/>
        <w:tabs>
          <w:tab w:val="left" w:pos="540"/>
          <w:tab w:val="left" w:pos="1080"/>
          <w:tab w:val="left" w:pos="2250"/>
          <w:tab w:val="left" w:pos="4320"/>
          <w:tab w:val="left" w:pos="5760"/>
        </w:tabs>
        <w:spacing w:line="30" w:lineRule="atLeast"/>
        <w:ind w:left="360" w:hanging="360"/>
        <w:jc w:val="both"/>
        <w:rPr>
          <w:b/>
        </w:rPr>
      </w:pPr>
      <w:r>
        <w:rPr>
          <w:rFonts w:asciiTheme="minorHAnsi" w:hAnsiTheme="minorHAnsi"/>
          <w:b/>
        </w:rPr>
        <w:t>2.    Adjourn to a Work Session:</w:t>
      </w:r>
    </w:p>
    <w:p w:rsidR="00EA783A" w:rsidRDefault="00EA783A" w:rsidP="00EA783A">
      <w:pPr>
        <w:rPr>
          <w:b/>
        </w:rPr>
      </w:pPr>
    </w:p>
    <w:p w:rsidR="00EA783A" w:rsidRPr="00EA783A" w:rsidRDefault="00EA783A" w:rsidP="00EA783A">
      <w:pPr>
        <w:rPr>
          <w:b/>
        </w:rPr>
      </w:pPr>
      <w:r w:rsidRPr="00EA783A">
        <w:rPr>
          <w:b/>
        </w:rPr>
        <w:t>WS 1:  Discussion regarding Ogden City Property Downzone and Reserved Transferable Development Rights</w:t>
      </w:r>
    </w:p>
    <w:p w:rsidR="00EA783A" w:rsidRPr="00EA783A" w:rsidRDefault="00EA783A" w:rsidP="00EA783A">
      <w:pPr>
        <w:rPr>
          <w:b/>
        </w:rPr>
      </w:pPr>
    </w:p>
    <w:p w:rsidR="00EA783A" w:rsidRPr="00EA783A" w:rsidRDefault="00EA783A" w:rsidP="00EA783A">
      <w:pPr>
        <w:tabs>
          <w:tab w:val="left" w:pos="0"/>
          <w:tab w:val="left" w:pos="360"/>
          <w:tab w:val="left" w:pos="1080"/>
          <w:tab w:val="left" w:pos="2250"/>
          <w:tab w:val="left" w:pos="2520"/>
          <w:tab w:val="left" w:pos="4320"/>
          <w:tab w:val="left" w:pos="5760"/>
        </w:tabs>
        <w:spacing w:line="30" w:lineRule="atLeast"/>
        <w:contextualSpacing/>
        <w:jc w:val="both"/>
        <w:rPr>
          <w:b/>
        </w:rPr>
      </w:pPr>
      <w:r w:rsidRPr="00EA783A">
        <w:rPr>
          <w:b/>
        </w:rPr>
        <w:t xml:space="preserve">WS 2:  Discussion regarding Old Town Eden Small Area Plan </w:t>
      </w:r>
    </w:p>
    <w:p w:rsidR="00EA783A" w:rsidRPr="00EA783A" w:rsidRDefault="00EA783A" w:rsidP="00EA783A">
      <w:pPr>
        <w:rPr>
          <w:b/>
        </w:rPr>
      </w:pPr>
    </w:p>
    <w:p w:rsidR="00EA783A" w:rsidRPr="00EA783A" w:rsidRDefault="00EA783A" w:rsidP="00EA783A">
      <w:pPr>
        <w:rPr>
          <w:b/>
        </w:rPr>
      </w:pPr>
      <w:r w:rsidRPr="00EA783A">
        <w:rPr>
          <w:b/>
        </w:rPr>
        <w:t>WS 3:  Discussion regarding Land Use Table Revisions.</w:t>
      </w:r>
    </w:p>
    <w:p w:rsidR="00EA783A" w:rsidRPr="00EA783A" w:rsidRDefault="00EA783A" w:rsidP="00EA783A">
      <w:pPr>
        <w:rPr>
          <w:b/>
        </w:rPr>
      </w:pPr>
    </w:p>
    <w:p w:rsidR="00EA783A" w:rsidRPr="00EA783A" w:rsidRDefault="00EA783A" w:rsidP="00EA783A">
      <w:pPr>
        <w:tabs>
          <w:tab w:val="left" w:pos="0"/>
          <w:tab w:val="left" w:pos="360"/>
          <w:tab w:val="left" w:pos="1080"/>
          <w:tab w:val="left" w:pos="2250"/>
          <w:tab w:val="left" w:pos="2520"/>
          <w:tab w:val="left" w:pos="4320"/>
          <w:tab w:val="left" w:pos="5760"/>
        </w:tabs>
        <w:spacing w:line="30" w:lineRule="atLeast"/>
        <w:contextualSpacing/>
        <w:jc w:val="both"/>
        <w:rPr>
          <w:b/>
        </w:rPr>
      </w:pPr>
    </w:p>
    <w:p w:rsidR="00EA783A" w:rsidRPr="00EA783A" w:rsidRDefault="00EA783A" w:rsidP="00EA783A">
      <w:pPr>
        <w:tabs>
          <w:tab w:val="left" w:pos="0"/>
          <w:tab w:val="left" w:pos="360"/>
          <w:tab w:val="left" w:pos="1080"/>
          <w:tab w:val="left" w:pos="2250"/>
          <w:tab w:val="left" w:pos="2520"/>
          <w:tab w:val="left" w:pos="4320"/>
          <w:tab w:val="left" w:pos="5760"/>
        </w:tabs>
        <w:spacing w:line="30" w:lineRule="atLeast"/>
        <w:contextualSpacing/>
        <w:jc w:val="both"/>
        <w:rPr>
          <w:b/>
        </w:rPr>
      </w:pPr>
    </w:p>
    <w:p w:rsidR="00EA783A" w:rsidRPr="00EA783A" w:rsidRDefault="00EA783A" w:rsidP="00EA783A">
      <w:pPr>
        <w:tabs>
          <w:tab w:val="left" w:pos="0"/>
          <w:tab w:val="left" w:pos="360"/>
          <w:tab w:val="left" w:pos="1080"/>
          <w:tab w:val="left" w:pos="2250"/>
          <w:tab w:val="left" w:pos="2520"/>
          <w:tab w:val="left" w:pos="4320"/>
          <w:tab w:val="left" w:pos="5760"/>
        </w:tabs>
        <w:spacing w:line="30" w:lineRule="atLeast"/>
        <w:contextualSpacing/>
        <w:jc w:val="both"/>
        <w:rPr>
          <w:b/>
        </w:rPr>
      </w:pPr>
    </w:p>
    <w:p w:rsidR="00EA783A" w:rsidRPr="00EA783A" w:rsidRDefault="00EA783A" w:rsidP="00EA783A">
      <w:pPr>
        <w:tabs>
          <w:tab w:val="left" w:pos="0"/>
          <w:tab w:val="left" w:pos="360"/>
          <w:tab w:val="left" w:pos="1080"/>
          <w:tab w:val="left" w:pos="2250"/>
          <w:tab w:val="left" w:pos="2520"/>
          <w:tab w:val="left" w:pos="4320"/>
          <w:tab w:val="left" w:pos="5760"/>
        </w:tabs>
        <w:spacing w:line="30" w:lineRule="atLeast"/>
        <w:contextualSpacing/>
        <w:jc w:val="both"/>
        <w:rPr>
          <w:b/>
        </w:rPr>
      </w:pPr>
    </w:p>
    <w:p w:rsidR="00EA783A" w:rsidRPr="00EA783A" w:rsidRDefault="00EA783A" w:rsidP="00EA783A">
      <w:pPr>
        <w:tabs>
          <w:tab w:val="left" w:pos="0"/>
          <w:tab w:val="left" w:pos="360"/>
          <w:tab w:val="left" w:pos="1080"/>
          <w:tab w:val="left" w:pos="2250"/>
          <w:tab w:val="left" w:pos="2520"/>
          <w:tab w:val="left" w:pos="4320"/>
          <w:tab w:val="left" w:pos="5760"/>
        </w:tabs>
        <w:spacing w:line="30" w:lineRule="atLeast"/>
        <w:contextualSpacing/>
        <w:jc w:val="both"/>
        <w:rPr>
          <w:b/>
        </w:rPr>
      </w:pPr>
    </w:p>
    <w:p w:rsidR="00EA783A" w:rsidRDefault="00527908">
      <w:r w:rsidRPr="00527908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20C572B" wp14:editId="6E78EE66">
                <wp:simplePos x="0" y="0"/>
                <wp:positionH relativeFrom="margin">
                  <wp:posOffset>-390525</wp:posOffset>
                </wp:positionH>
                <wp:positionV relativeFrom="margin">
                  <wp:posOffset>6486525</wp:posOffset>
                </wp:positionV>
                <wp:extent cx="7038975" cy="1981200"/>
                <wp:effectExtent l="0" t="0" r="47625" b="57150"/>
                <wp:wrapNone/>
                <wp:docPr id="2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038975" cy="19812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27908" w:rsidRDefault="00527908" w:rsidP="00527908">
                            <w:pPr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527908" w:rsidRPr="009267E6" w:rsidRDefault="00527908" w:rsidP="00527908">
                            <w:pPr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267E6">
                              <w:rPr>
                                <w:rFonts w:ascii="Cambria" w:eastAsia="Times New Roman" w:hAnsi="Cambria"/>
                                <w:i/>
                                <w:iCs/>
                                <w:sz w:val="18"/>
                                <w:szCs w:val="18"/>
                              </w:rPr>
                              <w:t>The regular meeting will be held in the Weber County Commission Chambers, in the Weber Center, 1</w:t>
                            </w:r>
                            <w:r w:rsidRPr="009267E6">
                              <w:rPr>
                                <w:rFonts w:ascii="Cambria" w:eastAsia="Times New Roman" w:hAnsi="Cambria"/>
                                <w:i/>
                                <w:iCs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9267E6">
                              <w:rPr>
                                <w:rFonts w:ascii="Cambria" w:eastAsia="Times New Roman" w:hAnsi="Cambri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Floor,</w:t>
                            </w:r>
                          </w:p>
                          <w:p w:rsidR="00527908" w:rsidRDefault="00527908" w:rsidP="00527908">
                            <w:pPr>
                              <w:spacing w:after="160"/>
                              <w:contextualSpacing/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267E6">
                              <w:rPr>
                                <w:rFonts w:ascii="Cambria" w:eastAsia="Times New Roman" w:hAnsi="Cambri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2380 Washington Blvd., Ogden, Utah. </w:t>
                            </w:r>
                          </w:p>
                          <w:p w:rsidR="00527908" w:rsidRPr="009267E6" w:rsidRDefault="00527908" w:rsidP="00527908">
                            <w:pPr>
                              <w:spacing w:after="160"/>
                              <w:contextualSpacing/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527908" w:rsidRDefault="00527908" w:rsidP="00527908">
                            <w:pPr>
                              <w:spacing w:after="160"/>
                              <w:contextualSpacing/>
                              <w:jc w:val="center"/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267E6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  <w:t xml:space="preserve">Please enter the building through the front door on Washington Blvd. if arriving to the meeting after 5:00 p.m. </w:t>
                            </w:r>
                          </w:p>
                          <w:p w:rsidR="00527908" w:rsidRPr="009267E6" w:rsidRDefault="00527908" w:rsidP="00527908">
                            <w:pPr>
                              <w:spacing w:after="160"/>
                              <w:contextualSpacing/>
                              <w:jc w:val="center"/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527908" w:rsidRPr="009267E6" w:rsidRDefault="00527908" w:rsidP="00527908">
                            <w:pPr>
                              <w:spacing w:after="160"/>
                              <w:contextualSpacing/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267E6">
                              <w:rPr>
                                <w:rFonts w:ascii="Cambria" w:eastAsia="Times New Roman" w:hAnsi="Cambri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 Pre-Meeting will be held at 4:30 p.m. in Commission Chambers Break Out Room.  The agenda for the pre-meeting consists of discussion of the same items listed above, on the agenda for the meeting. </w:t>
                            </w:r>
                          </w:p>
                          <w:p w:rsidR="00527908" w:rsidRDefault="00527908" w:rsidP="00527908">
                            <w:pPr>
                              <w:spacing w:after="160"/>
                              <w:contextualSpacing/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267E6">
                              <w:rPr>
                                <w:rFonts w:ascii="Cambria" w:eastAsia="Times New Roman" w:hAnsi="Cambri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No decisions are made in the pre-meeting, but it is an open, public meeting.</w:t>
                            </w:r>
                          </w:p>
                          <w:p w:rsidR="00527908" w:rsidRPr="009267E6" w:rsidRDefault="00527908" w:rsidP="00527908">
                            <w:pPr>
                              <w:spacing w:after="160"/>
                              <w:contextualSpacing/>
                              <w:jc w:val="center"/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527908" w:rsidRPr="009267E6" w:rsidRDefault="00527908" w:rsidP="00527908">
                            <w:pPr>
                              <w:spacing w:after="160"/>
                              <w:contextualSpacing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267E6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In compliance with the Americans with Disabilities Act, persons needing auxiliary services for these meetings should call the Weber County Planning Commission at 801-399-8791</w:t>
                            </w:r>
                          </w:p>
                          <w:p w:rsidR="00527908" w:rsidRPr="001359A5" w:rsidRDefault="00527908" w:rsidP="00527908">
                            <w:pPr>
                              <w:spacing w:after="160"/>
                              <w:contextualSpacing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C572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0.75pt;margin-top:510.75pt;width:554.25pt;height:15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" o:allowincell="f" fillcolor="#9dc3e6" strokecolor="#9dc3e6" strokeweight="1pt">
                <v:fill color2="#deebf7" angle="135" focus="50%" type="gradient"/>
                <v:shadow on="t" color="#1f4e79" opacity=".5" offset="1pt"/>
                <o:lock v:ext="edit" aspectratio="t"/>
                <v:textbox inset="10.8pt,7.2pt,10.8pt,7.2pt">
                  <w:txbxContent>
                    <w:p w:rsidR="00527908" w:rsidRDefault="00527908" w:rsidP="00527908">
                      <w:pPr>
                        <w:jc w:val="center"/>
                        <w:rPr>
                          <w:rFonts w:ascii="Cambria" w:eastAsia="Times New Roman" w:hAnsi="Cambria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527908" w:rsidRPr="009267E6" w:rsidRDefault="00527908" w:rsidP="00527908">
                      <w:pPr>
                        <w:jc w:val="center"/>
                        <w:rPr>
                          <w:rFonts w:ascii="Cambria" w:eastAsia="Times New Roman" w:hAnsi="Cambria"/>
                          <w:i/>
                          <w:iCs/>
                          <w:sz w:val="18"/>
                          <w:szCs w:val="18"/>
                        </w:rPr>
                      </w:pPr>
                      <w:r w:rsidRPr="009267E6">
                        <w:rPr>
                          <w:rFonts w:ascii="Cambria" w:eastAsia="Times New Roman" w:hAnsi="Cambria"/>
                          <w:i/>
                          <w:iCs/>
                          <w:sz w:val="18"/>
                          <w:szCs w:val="18"/>
                        </w:rPr>
                        <w:t>The regular meeting will be held in the Weber County Commission Chambers, in the Weber Center, 1</w:t>
                      </w:r>
                      <w:r w:rsidRPr="009267E6">
                        <w:rPr>
                          <w:rFonts w:ascii="Cambria" w:eastAsia="Times New Roman" w:hAnsi="Cambria"/>
                          <w:i/>
                          <w:iCs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9267E6">
                        <w:rPr>
                          <w:rFonts w:ascii="Cambria" w:eastAsia="Times New Roman" w:hAnsi="Cambria"/>
                          <w:i/>
                          <w:iCs/>
                          <w:sz w:val="18"/>
                          <w:szCs w:val="18"/>
                        </w:rPr>
                        <w:t xml:space="preserve"> Floor,</w:t>
                      </w:r>
                    </w:p>
                    <w:p w:rsidR="00527908" w:rsidRDefault="00527908" w:rsidP="00527908">
                      <w:pPr>
                        <w:spacing w:after="160"/>
                        <w:contextualSpacing/>
                        <w:jc w:val="center"/>
                        <w:rPr>
                          <w:rFonts w:ascii="Cambria" w:eastAsia="Times New Roman" w:hAnsi="Cambria"/>
                          <w:i/>
                          <w:iCs/>
                          <w:sz w:val="18"/>
                          <w:szCs w:val="18"/>
                        </w:rPr>
                      </w:pPr>
                      <w:r w:rsidRPr="009267E6">
                        <w:rPr>
                          <w:rFonts w:ascii="Cambria" w:eastAsia="Times New Roman" w:hAnsi="Cambria"/>
                          <w:i/>
                          <w:iCs/>
                          <w:sz w:val="18"/>
                          <w:szCs w:val="18"/>
                        </w:rPr>
                        <w:t xml:space="preserve">2380 Washington Blvd., Ogden, Utah. </w:t>
                      </w:r>
                    </w:p>
                    <w:p w:rsidR="00527908" w:rsidRPr="009267E6" w:rsidRDefault="00527908" w:rsidP="00527908">
                      <w:pPr>
                        <w:spacing w:after="160"/>
                        <w:contextualSpacing/>
                        <w:jc w:val="center"/>
                        <w:rPr>
                          <w:rFonts w:ascii="Cambria" w:eastAsia="Times New Roman" w:hAnsi="Cambria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527908" w:rsidRDefault="00527908" w:rsidP="00527908">
                      <w:pPr>
                        <w:spacing w:after="160"/>
                        <w:contextualSpacing/>
                        <w:jc w:val="center"/>
                        <w:rPr>
                          <w:rFonts w:ascii="Cambria" w:eastAsia="Times New Roman" w:hAnsi="Cambria"/>
                          <w:b/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  <w:r w:rsidRPr="009267E6">
                        <w:rPr>
                          <w:rFonts w:ascii="Cambria" w:eastAsia="Times New Roman" w:hAnsi="Cambria"/>
                          <w:b/>
                          <w:i/>
                          <w:iCs/>
                          <w:color w:val="FF0000"/>
                          <w:sz w:val="18"/>
                          <w:szCs w:val="18"/>
                        </w:rPr>
                        <w:t xml:space="preserve">Please enter the building through the front door on Washington Blvd. if arriving to the meeting after 5:00 p.m. </w:t>
                      </w:r>
                    </w:p>
                    <w:p w:rsidR="00527908" w:rsidRPr="009267E6" w:rsidRDefault="00527908" w:rsidP="00527908">
                      <w:pPr>
                        <w:spacing w:after="160"/>
                        <w:contextualSpacing/>
                        <w:jc w:val="center"/>
                        <w:rPr>
                          <w:rFonts w:ascii="Cambria" w:eastAsia="Times New Roman" w:hAnsi="Cambria"/>
                          <w:b/>
                          <w:i/>
                          <w:iCs/>
                          <w:color w:val="FF0000"/>
                          <w:sz w:val="18"/>
                          <w:szCs w:val="18"/>
                        </w:rPr>
                      </w:pPr>
                    </w:p>
                    <w:p w:rsidR="00527908" w:rsidRPr="009267E6" w:rsidRDefault="00527908" w:rsidP="00527908">
                      <w:pPr>
                        <w:spacing w:after="160"/>
                        <w:contextualSpacing/>
                        <w:jc w:val="center"/>
                        <w:rPr>
                          <w:rFonts w:ascii="Cambria" w:eastAsia="Times New Roman" w:hAnsi="Cambria"/>
                          <w:i/>
                          <w:iCs/>
                          <w:sz w:val="18"/>
                          <w:szCs w:val="18"/>
                        </w:rPr>
                      </w:pPr>
                      <w:r w:rsidRPr="009267E6">
                        <w:rPr>
                          <w:rFonts w:ascii="Cambria" w:eastAsia="Times New Roman" w:hAnsi="Cambria"/>
                          <w:i/>
                          <w:iCs/>
                          <w:sz w:val="18"/>
                          <w:szCs w:val="18"/>
                        </w:rPr>
                        <w:t xml:space="preserve">A Pre-Meeting will be held at 4:30 p.m. in Commission Chambers Break Out Room.  The agenda for the pre-meeting consists of discussion of the same items listed above, on the agenda for the meeting. </w:t>
                      </w:r>
                    </w:p>
                    <w:p w:rsidR="00527908" w:rsidRDefault="00527908" w:rsidP="00527908">
                      <w:pPr>
                        <w:spacing w:after="160"/>
                        <w:contextualSpacing/>
                        <w:jc w:val="center"/>
                        <w:rPr>
                          <w:rFonts w:ascii="Cambria" w:eastAsia="Times New Roman" w:hAnsi="Cambria"/>
                          <w:i/>
                          <w:iCs/>
                          <w:sz w:val="18"/>
                          <w:szCs w:val="18"/>
                        </w:rPr>
                      </w:pPr>
                      <w:r w:rsidRPr="009267E6">
                        <w:rPr>
                          <w:rFonts w:ascii="Cambria" w:eastAsia="Times New Roman" w:hAnsi="Cambria"/>
                          <w:i/>
                          <w:iCs/>
                          <w:sz w:val="18"/>
                          <w:szCs w:val="18"/>
                        </w:rPr>
                        <w:t xml:space="preserve"> No decisions are made in the pre-meeting, but it is an open, public meeting.</w:t>
                      </w:r>
                    </w:p>
                    <w:p w:rsidR="00527908" w:rsidRPr="009267E6" w:rsidRDefault="00527908" w:rsidP="00527908">
                      <w:pPr>
                        <w:spacing w:after="160"/>
                        <w:contextualSpacing/>
                        <w:jc w:val="center"/>
                        <w:rPr>
                          <w:rFonts w:ascii="Cambria" w:eastAsia="Times New Roman" w:hAnsi="Cambria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527908" w:rsidRPr="009267E6" w:rsidRDefault="00527908" w:rsidP="00527908">
                      <w:pPr>
                        <w:spacing w:after="160"/>
                        <w:contextualSpacing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 w:rsidRPr="009267E6">
                        <w:rPr>
                          <w:rFonts w:ascii="Cambria" w:eastAsia="Times New Roman" w:hAnsi="Cambria"/>
                          <w:b/>
                          <w:i/>
                          <w:iCs/>
                          <w:sz w:val="18"/>
                          <w:szCs w:val="18"/>
                        </w:rPr>
                        <w:t>In compliance with the Americans with Disabilities Act, persons needing auxiliary services for these meetings should call the Weber County Planning Commission at 801-399-8791</w:t>
                      </w:r>
                    </w:p>
                    <w:p w:rsidR="00527908" w:rsidRPr="001359A5" w:rsidRDefault="00527908" w:rsidP="00527908">
                      <w:pPr>
                        <w:spacing w:after="160"/>
                        <w:contextualSpacing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EA783A" w:rsidSect="00EA783A">
      <w:pgSz w:w="12240" w:h="15840" w:code="1"/>
      <w:pgMar w:top="1440" w:right="1350" w:bottom="1440" w:left="540" w:header="720" w:footer="720" w:gutter="72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87507"/>
    <w:multiLevelType w:val="hybridMultilevel"/>
    <w:tmpl w:val="6824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3A"/>
    <w:rsid w:val="00185A73"/>
    <w:rsid w:val="001D4662"/>
    <w:rsid w:val="002C157F"/>
    <w:rsid w:val="00521311"/>
    <w:rsid w:val="00527908"/>
    <w:rsid w:val="006C58E4"/>
    <w:rsid w:val="00895646"/>
    <w:rsid w:val="00B16382"/>
    <w:rsid w:val="00EA783A"/>
    <w:rsid w:val="00ED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E02E9"/>
  <w15:chartTrackingRefBased/>
  <w15:docId w15:val="{472D9931-A825-4814-B4D7-9E3B83DEC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90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83A"/>
    <w:pPr>
      <w:ind w:left="720"/>
      <w:contextualSpacing/>
    </w:pPr>
  </w:style>
  <w:style w:type="paragraph" w:customStyle="1" w:styleId="Info">
    <w:name w:val="Info"/>
    <w:basedOn w:val="Normal"/>
    <w:link w:val="InfoChar"/>
    <w:qFormat/>
    <w:rsid w:val="00EA783A"/>
    <w:pPr>
      <w:tabs>
        <w:tab w:val="left" w:pos="2640"/>
      </w:tabs>
      <w:spacing w:after="120"/>
      <w:ind w:left="288"/>
      <w:contextualSpacing/>
    </w:pPr>
    <w:rPr>
      <w:rFonts w:asciiTheme="minorHAnsi" w:eastAsiaTheme="minorHAnsi" w:hAnsiTheme="minorHAnsi" w:cstheme="minorBidi"/>
    </w:rPr>
  </w:style>
  <w:style w:type="character" w:customStyle="1" w:styleId="InfoChar">
    <w:name w:val="Info Char"/>
    <w:basedOn w:val="DefaultParagraphFont"/>
    <w:link w:val="Info"/>
    <w:rsid w:val="00EA783A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EA783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3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3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 Utah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Serrano, Kary C.</dc:creator>
  <cp:keywords/>
  <dc:description/>
  <cp:lastModifiedBy>Serrano, Kary C.</cp:lastModifiedBy>
  <cp:revision>4</cp:revision>
  <cp:lastPrinted>2019-02-27T22:29:00Z</cp:lastPrinted>
  <dcterms:created xsi:type="dcterms:W3CDTF">2019-02-27T20:27:00Z</dcterms:created>
  <dcterms:modified xsi:type="dcterms:W3CDTF">2019-02-27T22:31:00Z</dcterms:modified>
</cp:coreProperties>
</file>